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993B0" w14:textId="77777777" w:rsidR="00023968" w:rsidRPr="004B6193" w:rsidRDefault="00023968" w:rsidP="00023968">
      <w:pPr>
        <w:jc w:val="center"/>
        <w:outlineLvl w:val="0"/>
        <w:rPr>
          <w:rFonts w:cs="Segoe UI"/>
          <w:color w:val="FF0000"/>
          <w:sz w:val="24"/>
          <w:szCs w:val="24"/>
        </w:rPr>
      </w:pPr>
      <w:r w:rsidRPr="004B6193">
        <w:rPr>
          <w:rFonts w:cs="Segoe UI"/>
          <w:b/>
          <w:color w:val="FF0000"/>
          <w:sz w:val="40"/>
          <w:szCs w:val="40"/>
        </w:rPr>
        <w:t>MD Consulting Services LLC</w:t>
      </w:r>
      <w:r w:rsidRPr="004B6193">
        <w:rPr>
          <w:rFonts w:cs="Segoe UI"/>
          <w:b/>
          <w:color w:val="FF0000"/>
          <w:sz w:val="40"/>
          <w:szCs w:val="40"/>
        </w:rPr>
        <w:br/>
      </w:r>
      <w:r w:rsidRPr="004B6193">
        <w:rPr>
          <w:rFonts w:cs="Segoe UI"/>
          <w:sz w:val="24"/>
          <w:szCs w:val="24"/>
        </w:rPr>
        <w:t>Physicians Helping Attorneys Helping People™</w:t>
      </w:r>
      <w:r>
        <w:rPr>
          <w:rFonts w:cs="Segoe UI"/>
          <w:color w:val="FF0000"/>
          <w:sz w:val="24"/>
          <w:szCs w:val="24"/>
        </w:rPr>
        <w:br/>
      </w:r>
      <w:hyperlink r:id="rId5" w:history="1">
        <w:r w:rsidRPr="006E08FA">
          <w:rPr>
            <w:rStyle w:val="Hyperlink"/>
            <w:rFonts w:cs="Segoe UI"/>
            <w:sz w:val="24"/>
            <w:szCs w:val="24"/>
          </w:rPr>
          <w:t>www.mdcsco.com</w:t>
        </w:r>
      </w:hyperlink>
      <w:r w:rsidRPr="004B6193">
        <w:rPr>
          <w:rFonts w:cs="Segoe UI"/>
          <w:sz w:val="24"/>
          <w:szCs w:val="24"/>
        </w:rPr>
        <w:t xml:space="preserve">   </w:t>
      </w:r>
      <w:r w:rsidRPr="004B6193">
        <w:rPr>
          <w:rFonts w:cs="Segoe UI"/>
          <w:color w:val="0000FF"/>
          <w:sz w:val="24"/>
          <w:szCs w:val="24"/>
        </w:rPr>
        <w:t>303-619-0777</w:t>
      </w:r>
    </w:p>
    <w:p w14:paraId="55F398FC" w14:textId="77777777" w:rsidR="00023968" w:rsidRPr="007805E1" w:rsidRDefault="00023968" w:rsidP="00023968">
      <w:pPr>
        <w:jc w:val="center"/>
        <w:outlineLvl w:val="0"/>
        <w:rPr>
          <w:rFonts w:cs="Segoe UI"/>
          <w:b/>
          <w:color w:val="FF0000"/>
          <w:sz w:val="48"/>
          <w:szCs w:val="48"/>
        </w:rPr>
      </w:pPr>
      <w:r w:rsidRPr="007805E1">
        <w:rPr>
          <w:rFonts w:cs="Segoe UI"/>
          <w:b/>
          <w:color w:val="FF0000"/>
          <w:sz w:val="48"/>
          <w:szCs w:val="48"/>
        </w:rPr>
        <w:t>Newsletter</w:t>
      </w:r>
    </w:p>
    <w:p w14:paraId="7D40D169" w14:textId="41E8B11D" w:rsidR="00023968" w:rsidRPr="004B6193" w:rsidRDefault="001C2923" w:rsidP="00023968">
      <w:pPr>
        <w:jc w:val="center"/>
        <w:outlineLvl w:val="0"/>
        <w:rPr>
          <w:rFonts w:cs="Segoe UI"/>
          <w:sz w:val="32"/>
          <w:szCs w:val="32"/>
        </w:rPr>
      </w:pPr>
      <w:r>
        <w:rPr>
          <w:rFonts w:cs="Segoe UI"/>
          <w:sz w:val="32"/>
          <w:szCs w:val="32"/>
        </w:rPr>
        <w:t>September</w:t>
      </w:r>
      <w:r w:rsidR="007805E1">
        <w:rPr>
          <w:rFonts w:cs="Segoe UI"/>
          <w:sz w:val="32"/>
          <w:szCs w:val="32"/>
        </w:rPr>
        <w:t xml:space="preserve"> 20</w:t>
      </w:r>
      <w:r>
        <w:rPr>
          <w:rFonts w:cs="Segoe UI"/>
          <w:sz w:val="32"/>
          <w:szCs w:val="32"/>
        </w:rPr>
        <w:t>20</w:t>
      </w:r>
    </w:p>
    <w:p w14:paraId="3AAEAF7E" w14:textId="77777777" w:rsidR="00023968" w:rsidRPr="004B6193" w:rsidRDefault="00023968" w:rsidP="00023968">
      <w:pPr>
        <w:rPr>
          <w:b/>
          <w:sz w:val="32"/>
          <w:szCs w:val="32"/>
        </w:rPr>
      </w:pPr>
      <w:r>
        <w:rPr>
          <w:b/>
          <w:sz w:val="32"/>
          <w:szCs w:val="32"/>
        </w:rPr>
        <w:t>This Month’s Question</w:t>
      </w:r>
    </w:p>
    <w:p w14:paraId="5A8F4279" w14:textId="2256FE04" w:rsidR="00023968" w:rsidRPr="001C2923" w:rsidRDefault="001C2923" w:rsidP="00023968">
      <w:pPr>
        <w:rPr>
          <w:b/>
          <w:bCs/>
          <w:color w:val="0070C0"/>
          <w:sz w:val="36"/>
          <w:szCs w:val="36"/>
        </w:rPr>
      </w:pPr>
      <w:r w:rsidRPr="001C2923">
        <w:rPr>
          <w:rFonts w:ascii="Times New Roman" w:eastAsia="Calibri" w:hAnsi="Times New Roman"/>
          <w:b/>
          <w:bCs/>
          <w:color w:val="0070C0"/>
          <w:sz w:val="32"/>
          <w:szCs w:val="32"/>
          <w:lang w:bidi="ar-SA"/>
        </w:rPr>
        <w:t>Can being rear-ended really cause atrial fibrillation?</w:t>
      </w:r>
    </w:p>
    <w:p w14:paraId="17F43002" w14:textId="77777777" w:rsidR="001C2923" w:rsidRPr="001C2923" w:rsidRDefault="001C2923" w:rsidP="001C2923">
      <w:pPr>
        <w:spacing w:before="0"/>
        <w:rPr>
          <w:rFonts w:ascii="Times New Roman" w:eastAsia="Calibri" w:hAnsi="Times New Roman"/>
          <w:sz w:val="28"/>
          <w:szCs w:val="28"/>
          <w:lang w:bidi="ar-SA"/>
        </w:rPr>
      </w:pPr>
    </w:p>
    <w:p w14:paraId="5A42353D" w14:textId="77777777" w:rsidR="001C2923" w:rsidRDefault="001C2923" w:rsidP="001C2923">
      <w:pPr>
        <w:spacing w:before="0"/>
        <w:rPr>
          <w:b/>
          <w:sz w:val="32"/>
          <w:szCs w:val="32"/>
        </w:rPr>
      </w:pPr>
      <w:r>
        <w:rPr>
          <w:b/>
          <w:sz w:val="32"/>
          <w:szCs w:val="32"/>
        </w:rPr>
        <w:t>MD Consulting Service Answer</w:t>
      </w:r>
    </w:p>
    <w:p w14:paraId="685F2729" w14:textId="77777777" w:rsidR="001C2923" w:rsidRDefault="001C2923" w:rsidP="001C2923">
      <w:pPr>
        <w:spacing w:before="0"/>
        <w:rPr>
          <w:b/>
          <w:sz w:val="32"/>
          <w:szCs w:val="32"/>
        </w:rPr>
      </w:pPr>
    </w:p>
    <w:p w14:paraId="0DE28CD4" w14:textId="062C30F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We were recently involved in a case where a woman in her mid-60’s was rear-ended while stopped at a traffic light.  The SUV that she was driving was struck by a passenger car (the driver was distracted, searching for his dropped cell phone) traveling at 45 miles per hour per the offending driver’s admission.  No brakes were deployed and no other vehicles were involved.</w:t>
      </w:r>
    </w:p>
    <w:p w14:paraId="47415B29" w14:textId="77777777" w:rsidR="001C2923" w:rsidRPr="001C2923" w:rsidRDefault="001C2923" w:rsidP="001C2923">
      <w:pPr>
        <w:spacing w:before="0"/>
        <w:rPr>
          <w:rFonts w:ascii="Times New Roman" w:eastAsia="Calibri" w:hAnsi="Times New Roman"/>
          <w:sz w:val="28"/>
          <w:szCs w:val="28"/>
          <w:lang w:bidi="ar-SA"/>
        </w:rPr>
      </w:pPr>
    </w:p>
    <w:p w14:paraId="31530BF0"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 xml:space="preserve">At the time of impact, the client reported transient, sharp pain involving her neck and lumbar spine.  She also noted chest discomfort from the compression of her seat-belt.  While speaking with local law enforcement, she complained of severe headache.  EMS was summoned.  Her blood pressure was elevated enough that she called her husband to bring her to a local Emergency Department.  </w:t>
      </w:r>
    </w:p>
    <w:p w14:paraId="59FDBA12" w14:textId="77777777" w:rsidR="001C2923" w:rsidRPr="001C2923" w:rsidRDefault="001C2923" w:rsidP="001C2923">
      <w:pPr>
        <w:spacing w:before="0"/>
        <w:rPr>
          <w:rFonts w:ascii="Times New Roman" w:eastAsia="Calibri" w:hAnsi="Times New Roman"/>
          <w:sz w:val="28"/>
          <w:szCs w:val="28"/>
          <w:lang w:bidi="ar-SA"/>
        </w:rPr>
      </w:pPr>
    </w:p>
    <w:p w14:paraId="75D8341B"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 xml:space="preserve">In the Emergency Department, her systolic (upper #) blood pressure ranged from the 180’s to 210 with diastolic (lower #) pressures from 90 to 115 (normal is 120/80).  Her heart rate was normal to mildly elevated (80’s to 90’s).  X-rays of her C-spine and L-spine were normal as was the CT of her brain.  Her blood pressure responded to medication quickly.  However, prior to discharge, the heart monitor revealed atrial fibrillation with a resulting heart rate into the 150’s.  The client was admitted for observation.  Atrial fibrillation is a heart rhythm disturbance where the atria (upper heart chambers) simply quiver as opposed to contracting rhythmically.  The atrial fibrillation resolved overnight and she was discharged the next evening.  </w:t>
      </w:r>
    </w:p>
    <w:p w14:paraId="0253DB69" w14:textId="77777777" w:rsidR="001C2923" w:rsidRPr="001C2923" w:rsidRDefault="001C2923" w:rsidP="001C2923">
      <w:pPr>
        <w:spacing w:before="0"/>
        <w:rPr>
          <w:rFonts w:ascii="Times New Roman" w:eastAsia="Calibri" w:hAnsi="Times New Roman"/>
          <w:sz w:val="28"/>
          <w:szCs w:val="28"/>
          <w:lang w:bidi="ar-SA"/>
        </w:rPr>
      </w:pPr>
    </w:p>
    <w:p w14:paraId="6614F853"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lastRenderedPageBreak/>
        <w:t xml:space="preserve">The question here is whether the collision caused the abnormal heart rhythm.  The client followed up with a cardiologist the next week.  The cardiologist quickly pointed out that the surge of adrenaline was likely a factor causing the atrial fibrillation.  More likely, in his opinion, was the cardiac contusion caused by the impact.  </w:t>
      </w:r>
    </w:p>
    <w:p w14:paraId="4D87764C" w14:textId="77777777" w:rsidR="001C2923" w:rsidRPr="001C2923" w:rsidRDefault="001C2923" w:rsidP="001C2923">
      <w:pPr>
        <w:spacing w:before="0"/>
        <w:rPr>
          <w:rFonts w:ascii="Times New Roman" w:eastAsia="Calibri" w:hAnsi="Times New Roman"/>
          <w:sz w:val="28"/>
          <w:szCs w:val="28"/>
          <w:lang w:bidi="ar-SA"/>
        </w:rPr>
      </w:pPr>
    </w:p>
    <w:p w14:paraId="60D232E6"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 xml:space="preserve">The client’s troponin (a cardiac enzyme) level was elevated in the Emergency Department but quickly returned to undetectable.  When elevated, this enzyme reveals myocardial (heart muscle) injury.  Heart attack was ruled out by the fact that the client’s troponin blood level came down precipitously as well as the absence of EKG changes.  Additionally, there were no symptoms suggestive of a heart attack.  The client’s chest discomfort was muscular and felt to be related to the seat belt.  </w:t>
      </w:r>
    </w:p>
    <w:p w14:paraId="7AF793F8" w14:textId="77777777" w:rsidR="001C2923" w:rsidRPr="001C2923" w:rsidRDefault="001C2923" w:rsidP="001C2923">
      <w:pPr>
        <w:spacing w:before="0"/>
        <w:rPr>
          <w:rFonts w:ascii="Times New Roman" w:eastAsia="Calibri" w:hAnsi="Times New Roman"/>
          <w:sz w:val="28"/>
          <w:szCs w:val="28"/>
          <w:lang w:bidi="ar-SA"/>
        </w:rPr>
      </w:pPr>
    </w:p>
    <w:p w14:paraId="06F478F3"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 xml:space="preserve">Simply put, a contusion is a common bruise.  A cardiac contusion is a bruise of the heart muscle.  Heart muscle fibers are injured and the damaged fibers bleed. Enzymes like troponin are released which can be measured in the blood.  The peak level reached and the duration over which the levels persist help differentiate between a simple contusion (precipitous drop) vs. the more extensive damage from a heart attack causing prolonged enzyme elevations.  </w:t>
      </w:r>
    </w:p>
    <w:p w14:paraId="6BD0AC76" w14:textId="77777777" w:rsidR="001C2923" w:rsidRPr="001C2923" w:rsidRDefault="001C2923" w:rsidP="001C2923">
      <w:pPr>
        <w:spacing w:before="0"/>
        <w:rPr>
          <w:rFonts w:ascii="Times New Roman" w:eastAsia="Calibri" w:hAnsi="Times New Roman"/>
          <w:sz w:val="28"/>
          <w:szCs w:val="28"/>
          <w:lang w:bidi="ar-SA"/>
        </w:rPr>
      </w:pPr>
    </w:p>
    <w:p w14:paraId="3F750ED2"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 xml:space="preserve">Seat belt injury is a common cause of cardiac contusion.  However, symptoms vary and may easily be attributed to simple chest muscle contusion.  A key difference is that cardiac contusion can also cause abnormal heart rhythms as well as heart failure in rare cases.  Even microscopic bleeding causes inflammation.  Depending upon the extent of bleeding and resulting inflammation, how the injured tissue reacts can vary greatly.  </w:t>
      </w:r>
    </w:p>
    <w:p w14:paraId="08C6741F" w14:textId="77777777" w:rsidR="001C2923" w:rsidRPr="001C2923" w:rsidRDefault="001C2923" w:rsidP="001C2923">
      <w:pPr>
        <w:spacing w:before="0"/>
        <w:rPr>
          <w:rFonts w:ascii="Times New Roman" w:eastAsia="Calibri" w:hAnsi="Times New Roman"/>
          <w:sz w:val="28"/>
          <w:szCs w:val="28"/>
          <w:lang w:bidi="ar-SA"/>
        </w:rPr>
      </w:pPr>
    </w:p>
    <w:p w14:paraId="406176F8"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 xml:space="preserve">Symptoms are usually mild and self-limited. They include chest discomfort, shortness of breath and even changes in one’s EKG may occur.  The right side of the heart is more commonly involved than the left.  Not coincidentally, right sided heart attacks commonly result in heart rhythm disturbance.  Therefore, rhythm disturbance is no real surprise after cardiac contusion.  </w:t>
      </w:r>
    </w:p>
    <w:p w14:paraId="761DDA4A" w14:textId="77777777" w:rsidR="001C2923" w:rsidRPr="001C2923" w:rsidRDefault="001C2923" w:rsidP="001C2923">
      <w:pPr>
        <w:spacing w:before="0"/>
        <w:rPr>
          <w:rFonts w:ascii="Times New Roman" w:eastAsia="Calibri" w:hAnsi="Times New Roman"/>
          <w:sz w:val="28"/>
          <w:szCs w:val="28"/>
          <w:lang w:bidi="ar-SA"/>
        </w:rPr>
      </w:pPr>
    </w:p>
    <w:p w14:paraId="724C2CAF"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 xml:space="preserve">Cardiac contusion has been seen to result in various rhythm abnormalities including atrial fibrillation.  Slowing of electrical conduction has also been observed in various forms.  So, heart rate may be slowed rather than increased. </w:t>
      </w:r>
    </w:p>
    <w:p w14:paraId="6F5B33AD" w14:textId="77777777" w:rsidR="001C2923" w:rsidRPr="001C2923" w:rsidRDefault="001C2923" w:rsidP="001C2923">
      <w:pPr>
        <w:spacing w:before="0"/>
        <w:rPr>
          <w:rFonts w:ascii="Times New Roman" w:eastAsia="Calibri" w:hAnsi="Times New Roman"/>
          <w:sz w:val="28"/>
          <w:szCs w:val="28"/>
          <w:lang w:bidi="ar-SA"/>
        </w:rPr>
      </w:pPr>
      <w:r w:rsidRPr="001C2923">
        <w:rPr>
          <w:rFonts w:ascii="Times New Roman" w:eastAsia="Calibri" w:hAnsi="Times New Roman"/>
          <w:sz w:val="28"/>
          <w:szCs w:val="28"/>
          <w:lang w:bidi="ar-SA"/>
        </w:rPr>
        <w:t>It’s important to note that in some cases of traumatic cardiac contusion abnormal heart rhythms, including atrial fibrillation, may become a chronic problem.</w:t>
      </w:r>
    </w:p>
    <w:p w14:paraId="18DA68AA" w14:textId="77777777" w:rsidR="001C2923" w:rsidRPr="001C2923" w:rsidRDefault="001C2923" w:rsidP="001C2923">
      <w:pPr>
        <w:spacing w:before="0"/>
        <w:rPr>
          <w:rFonts w:ascii="Times New Roman" w:eastAsia="Calibri" w:hAnsi="Times New Roman"/>
          <w:sz w:val="28"/>
          <w:szCs w:val="28"/>
          <w:lang w:bidi="ar-SA"/>
        </w:rPr>
      </w:pPr>
    </w:p>
    <w:p w14:paraId="394E21C9" w14:textId="0DEDFC21" w:rsidR="00023968" w:rsidRPr="003504D3" w:rsidRDefault="001C2923" w:rsidP="001C2923">
      <w:pPr>
        <w:spacing w:before="120"/>
        <w:rPr>
          <w:rFonts w:cs="Segoe UI"/>
          <w:sz w:val="28"/>
          <w:szCs w:val="28"/>
        </w:rPr>
      </w:pPr>
      <w:r w:rsidRPr="001C2923">
        <w:rPr>
          <w:rFonts w:ascii="Times New Roman" w:eastAsia="Calibri" w:hAnsi="Times New Roman"/>
          <w:sz w:val="28"/>
          <w:szCs w:val="28"/>
          <w:lang w:bidi="ar-SA"/>
        </w:rPr>
        <w:lastRenderedPageBreak/>
        <w:t>This case is yet another example of how a Medical/Legal Consultant can increase case value and save attorney time.  By revealing a medically plausible explanation for the client’s rhythm disturbance, an injury that might have been overlooked was identified.  Whether this client’s atrial fibrillation becomes chronic or not remains to be seen.  It is now recognized as a result of the auto accident.</w:t>
      </w:r>
    </w:p>
    <w:p w14:paraId="0572F45D" w14:textId="77777777" w:rsidR="00023968" w:rsidRPr="001471C2" w:rsidRDefault="00023968" w:rsidP="00023968">
      <w:pPr>
        <w:jc w:val="center"/>
        <w:rPr>
          <w:rFonts w:cs="Segoe UI"/>
          <w:b/>
          <w:color w:val="FF0000"/>
          <w:sz w:val="36"/>
          <w:szCs w:val="36"/>
        </w:rPr>
      </w:pPr>
      <w:r w:rsidRPr="001471C2">
        <w:rPr>
          <w:rFonts w:cs="Segoe UI"/>
          <w:b/>
          <w:color w:val="FF0000"/>
          <w:sz w:val="36"/>
          <w:szCs w:val="36"/>
        </w:rPr>
        <w:t>Let Us Know How We Can Help You</w:t>
      </w:r>
    </w:p>
    <w:p w14:paraId="0017BFDD"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Medical Summary Reports for Settlement Letters</w:t>
      </w:r>
    </w:p>
    <w:p w14:paraId="2A2826FA"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IME Observation &amp; IME Rebuttal Reports</w:t>
      </w:r>
    </w:p>
    <w:p w14:paraId="616C064F"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Reports Answering Specific Medical Questions</w:t>
      </w:r>
    </w:p>
    <w:p w14:paraId="083AE2BD"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Standard of Care Reviews</w:t>
      </w:r>
    </w:p>
    <w:p w14:paraId="56191E90"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Liaison with Treating Doctors</w:t>
      </w:r>
    </w:p>
    <w:p w14:paraId="1CB6531B"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Help with Strategies to Promote Medical Theories</w:t>
      </w:r>
    </w:p>
    <w:p w14:paraId="199EEFA7"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 xml:space="preserve">Interpretation of Meaning, or lack thereof, of Medical Reports &amp; Records </w:t>
      </w:r>
    </w:p>
    <w:p w14:paraId="015CA008"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Independent Record Reviews</w:t>
      </w:r>
    </w:p>
    <w:p w14:paraId="5973F586"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Assessment of Case Validity Regarding Medical Issues</w:t>
      </w:r>
    </w:p>
    <w:p w14:paraId="509EEC5F"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Referral to Expert Medical Witnesses</w:t>
      </w:r>
    </w:p>
    <w:p w14:paraId="7BDEE3E1"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Medical Research</w:t>
      </w:r>
    </w:p>
    <w:p w14:paraId="30D93A1B"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Facilitation of Communication with Clients, Families, Professionals and Service &amp; Governmental Agencies</w:t>
      </w:r>
    </w:p>
    <w:p w14:paraId="1896F1F5"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Case Coordination</w:t>
      </w:r>
    </w:p>
    <w:p w14:paraId="71CCF6CD" w14:textId="77777777" w:rsidR="00E222D1" w:rsidRPr="00E222D1" w:rsidRDefault="00E222D1" w:rsidP="00E222D1">
      <w:pPr>
        <w:widowControl w:val="0"/>
        <w:numPr>
          <w:ilvl w:val="0"/>
          <w:numId w:val="1"/>
        </w:numPr>
        <w:suppressAutoHyphens/>
        <w:overflowPunct w:val="0"/>
        <w:autoSpaceDE w:val="0"/>
        <w:autoSpaceDN w:val="0"/>
        <w:adjustRightInd w:val="0"/>
        <w:spacing w:before="0"/>
        <w:textAlignment w:val="baseline"/>
        <w:rPr>
          <w:rFonts w:ascii="Times New Roman" w:hAnsi="Times New Roman"/>
          <w:sz w:val="24"/>
          <w:szCs w:val="24"/>
          <w:lang w:bidi="ar-SA"/>
        </w:rPr>
      </w:pPr>
      <w:r w:rsidRPr="00E222D1">
        <w:rPr>
          <w:rFonts w:ascii="Times New Roman" w:hAnsi="Times New Roman"/>
          <w:sz w:val="24"/>
          <w:szCs w:val="24"/>
          <w:lang w:bidi="ar-SA"/>
        </w:rPr>
        <w:t>Deposition &amp; Trial Question Preparation</w:t>
      </w:r>
    </w:p>
    <w:p w14:paraId="11A07C4E" w14:textId="3B1462B7" w:rsidR="00023968" w:rsidRPr="001C2923" w:rsidRDefault="00023968" w:rsidP="00023968">
      <w:pPr>
        <w:rPr>
          <w:rFonts w:ascii="Times New Roman" w:hAnsi="Times New Roman"/>
          <w:sz w:val="28"/>
          <w:szCs w:val="28"/>
        </w:rPr>
      </w:pPr>
      <w:r w:rsidRPr="001C2923">
        <w:rPr>
          <w:rFonts w:ascii="Times New Roman" w:hAnsi="Times New Roman"/>
          <w:sz w:val="28"/>
          <w:szCs w:val="28"/>
        </w:rPr>
        <w:t xml:space="preserve">We have purposefully </w:t>
      </w:r>
      <w:r w:rsidRPr="001C2923">
        <w:rPr>
          <w:rFonts w:ascii="Times New Roman" w:hAnsi="Times New Roman"/>
          <w:color w:val="FF0000"/>
          <w:sz w:val="28"/>
          <w:szCs w:val="28"/>
        </w:rPr>
        <w:t xml:space="preserve">kept our fees low </w:t>
      </w:r>
      <w:r w:rsidRPr="001C2923">
        <w:rPr>
          <w:rFonts w:ascii="Times New Roman" w:hAnsi="Times New Roman"/>
          <w:sz w:val="28"/>
          <w:szCs w:val="28"/>
        </w:rPr>
        <w:t xml:space="preserve">allowing you to have us review cases at the outset of your representation while controlling your expenses. In the past month your colleagues have repeatedly asked us to frame medical issues in their PI cases so medical theories can be easily organized and presented.  </w:t>
      </w:r>
    </w:p>
    <w:p w14:paraId="54CD85FD" w14:textId="77777777" w:rsidR="00023968" w:rsidRPr="001C2923" w:rsidRDefault="00023968" w:rsidP="00023968">
      <w:pPr>
        <w:jc w:val="center"/>
        <w:rPr>
          <w:rFonts w:ascii="Times New Roman" w:hAnsi="Times New Roman"/>
          <w:b/>
          <w:sz w:val="28"/>
          <w:szCs w:val="28"/>
        </w:rPr>
      </w:pPr>
      <w:r w:rsidRPr="001C2923">
        <w:rPr>
          <w:rFonts w:ascii="Times New Roman" w:hAnsi="Times New Roman"/>
          <w:b/>
          <w:sz w:val="28"/>
          <w:szCs w:val="28"/>
        </w:rPr>
        <w:t>Contact Us</w:t>
      </w:r>
    </w:p>
    <w:p w14:paraId="6B9A29F4" w14:textId="77777777" w:rsidR="00023968" w:rsidRPr="001C2923" w:rsidRDefault="00BE6A87" w:rsidP="00023968">
      <w:pPr>
        <w:jc w:val="center"/>
        <w:rPr>
          <w:rFonts w:ascii="Times New Roman" w:hAnsi="Times New Roman"/>
          <w:b/>
          <w:color w:val="FF0000"/>
          <w:sz w:val="28"/>
          <w:szCs w:val="28"/>
        </w:rPr>
      </w:pPr>
      <w:hyperlink r:id="rId6" w:history="1">
        <w:r w:rsidR="00023968" w:rsidRPr="001C2923">
          <w:rPr>
            <w:rStyle w:val="Hyperlink"/>
            <w:rFonts w:ascii="Times New Roman" w:hAnsi="Times New Roman"/>
            <w:b/>
            <w:sz w:val="28"/>
            <w:szCs w:val="28"/>
          </w:rPr>
          <w:t>www.mdcsco.com</w:t>
        </w:r>
      </w:hyperlink>
      <w:r w:rsidR="00023968" w:rsidRPr="001C2923">
        <w:rPr>
          <w:rFonts w:ascii="Times New Roman" w:hAnsi="Times New Roman"/>
          <w:b/>
          <w:sz w:val="28"/>
          <w:szCs w:val="28"/>
        </w:rPr>
        <w:t xml:space="preserve"> </w:t>
      </w:r>
      <w:r w:rsidR="00023968" w:rsidRPr="001C2923">
        <w:rPr>
          <w:rFonts w:ascii="Times New Roman" w:hAnsi="Times New Roman"/>
          <w:b/>
          <w:color w:val="FF0000"/>
          <w:sz w:val="28"/>
          <w:szCs w:val="28"/>
        </w:rPr>
        <w:t>303-619-0777</w:t>
      </w:r>
    </w:p>
    <w:p w14:paraId="144856D3" w14:textId="77777777" w:rsidR="00023968" w:rsidRPr="001C2923" w:rsidRDefault="00023968" w:rsidP="00023968">
      <w:pPr>
        <w:rPr>
          <w:rFonts w:ascii="Times New Roman" w:hAnsi="Times New Roman"/>
          <w:b/>
          <w:sz w:val="28"/>
          <w:szCs w:val="28"/>
        </w:rPr>
      </w:pPr>
      <w:r w:rsidRPr="001C2923">
        <w:rPr>
          <w:rFonts w:ascii="Times New Roman" w:hAnsi="Times New Roman"/>
          <w:b/>
          <w:sz w:val="28"/>
          <w:szCs w:val="28"/>
        </w:rPr>
        <w:t>P.S. ---Please pass this Newsletter along to your colleagues if you found it helpful.</w:t>
      </w:r>
    </w:p>
    <w:p w14:paraId="3637A6C2" w14:textId="77777777" w:rsidR="008E44AC" w:rsidRPr="00023968" w:rsidRDefault="008E44AC">
      <w:pPr>
        <w:rPr>
          <w:rFonts w:ascii="Times New Roman" w:hAnsi="Times New Roman"/>
          <w:sz w:val="24"/>
          <w:szCs w:val="24"/>
        </w:rPr>
      </w:pPr>
    </w:p>
    <w:sectPr w:rsidR="008E44AC" w:rsidRPr="00023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947A8"/>
    <w:multiLevelType w:val="hybridMultilevel"/>
    <w:tmpl w:val="ABD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68"/>
    <w:rsid w:val="00023968"/>
    <w:rsid w:val="00043DB4"/>
    <w:rsid w:val="001C2923"/>
    <w:rsid w:val="007805E1"/>
    <w:rsid w:val="008E44AC"/>
    <w:rsid w:val="00BE6A87"/>
    <w:rsid w:val="00CA5E27"/>
    <w:rsid w:val="00CC36E0"/>
    <w:rsid w:val="00D27591"/>
    <w:rsid w:val="00DC7A67"/>
    <w:rsid w:val="00E222D1"/>
    <w:rsid w:val="00E7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FEC4"/>
  <w15:docId w15:val="{BC4ADC09-15F9-4328-AF8A-CFEE9091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968"/>
    <w:pPr>
      <w:spacing w:before="240" w:after="0" w:line="240" w:lineRule="auto"/>
    </w:pPr>
    <w:rPr>
      <w:rFonts w:ascii="Segoe UI" w:eastAsia="Times New Roman" w:hAnsi="Segoe U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23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043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ConsultingServicesCO.com" TargetMode="External"/><Relationship Id="rId5" Type="http://schemas.openxmlformats.org/officeDocument/2006/relationships/hyperlink" Target="http://www.mdcs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Feldman</dc:creator>
  <cp:lastModifiedBy>armin.feldman armin.feldman</cp:lastModifiedBy>
  <cp:revision>2</cp:revision>
  <dcterms:created xsi:type="dcterms:W3CDTF">2020-09-01T21:17:00Z</dcterms:created>
  <dcterms:modified xsi:type="dcterms:W3CDTF">2020-09-01T21:17:00Z</dcterms:modified>
</cp:coreProperties>
</file>